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"/>
        <w:jc w:val="center"/>
        <w:tabs>
          <w:tab w:val="left" w:pos="0" w:leader="none"/>
        </w:tabs>
        <w:rPr>
          <w:rStyle w:val="680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Повышение </w:t>
      </w:r>
      <w:r>
        <w:rPr>
          <w:rStyle w:val="680"/>
          <w:rFonts w:ascii="Times New Roman" w:hAnsi="Times New Roman" w:cs="Times New Roman"/>
          <w:b/>
          <w:sz w:val="28"/>
          <w:szCs w:val="28"/>
        </w:rPr>
        <w:t xml:space="preserve">финансовой грамотности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680"/>
          <w:rFonts w:ascii="Times New Roman" w:hAnsi="Times New Roman" w:cs="Times New Roman"/>
          <w:b/>
          <w:sz w:val="28"/>
          <w:szCs w:val="28"/>
        </w:rPr>
        <w:t xml:space="preserve">обучающихся по программам среднего профессионального образования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680"/>
          <w:rFonts w:ascii="Times New Roman" w:hAnsi="Times New Roman" w:cs="Times New Roman"/>
          <w:b/>
          <w:sz w:val="28"/>
          <w:szCs w:val="28"/>
        </w:rPr>
        <w:t xml:space="preserve">в 202</w:t>
      </w:r>
      <w:r>
        <w:rPr>
          <w:rStyle w:val="680"/>
          <w:rFonts w:ascii="Times New Roman" w:hAnsi="Times New Roman" w:cs="Times New Roman"/>
          <w:b/>
          <w:sz w:val="28"/>
          <w:szCs w:val="28"/>
        </w:rPr>
        <w:t xml:space="preserve">4</w:t>
      </w:r>
      <w:r>
        <w:rPr>
          <w:rStyle w:val="680"/>
          <w:rFonts w:ascii="Times New Roman" w:hAnsi="Times New Roman" w:cs="Times New Roman"/>
          <w:b/>
          <w:sz w:val="28"/>
          <w:szCs w:val="28"/>
        </w:rPr>
        <w:t xml:space="preserve">-202</w:t>
      </w:r>
      <w:r>
        <w:rPr>
          <w:rStyle w:val="680"/>
          <w:rFonts w:ascii="Times New Roman" w:hAnsi="Times New Roman" w:cs="Times New Roman"/>
          <w:b/>
          <w:sz w:val="28"/>
          <w:szCs w:val="28"/>
        </w:rPr>
        <w:t xml:space="preserve">5</w:t>
      </w:r>
      <w:r>
        <w:rPr>
          <w:rStyle w:val="680"/>
          <w:rFonts w:ascii="Times New Roman" w:hAnsi="Times New Roman" w:cs="Times New Roman"/>
          <w:b/>
          <w:sz w:val="28"/>
          <w:szCs w:val="28"/>
        </w:rPr>
        <w:t xml:space="preserve"> учебном году</w:t>
      </w:r>
      <w:r>
        <w:rPr>
          <w:rStyle w:val="680"/>
          <w:rFonts w:ascii="Times New Roman" w:hAnsi="Times New Roman" w:cs="Times New Roman"/>
          <w:b/>
          <w:sz w:val="28"/>
          <w:szCs w:val="28"/>
        </w:rPr>
      </w:r>
    </w:p>
    <w:p>
      <w:pPr>
        <w:ind w:right="-1"/>
        <w:tabs>
          <w:tab w:val="left" w:pos="0" w:leader="none"/>
        </w:tabs>
        <w:rPr>
          <w:rStyle w:val="680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календарного плана воспитательной работы обучающихся:</w:t>
      </w:r>
      <w:r>
        <w:rPr>
          <w:rStyle w:val="680"/>
          <w:rFonts w:ascii="Times New Roman" w:hAnsi="Times New Roman" w:cs="Times New Roman"/>
          <w:b/>
          <w:sz w:val="28"/>
          <w:szCs w:val="28"/>
        </w:rPr>
      </w:r>
    </w:p>
    <w:tbl>
      <w:tblPr>
        <w:tblStyle w:val="669"/>
        <w:tblW w:w="5000" w:type="pct"/>
        <w:tblLook w:val="04A0" w:firstRow="1" w:lastRow="0" w:firstColumn="1" w:lastColumn="0" w:noHBand="0" w:noVBand="1"/>
      </w:tblPr>
      <w:tblGrid>
        <w:gridCol w:w="5345"/>
        <w:gridCol w:w="2351"/>
        <w:gridCol w:w="1709"/>
        <w:gridCol w:w="5721"/>
      </w:tblGrid>
      <w:tr>
        <w:tblPrEx/>
        <w:trPr/>
        <w:tc>
          <w:tcPr>
            <w:tcW w:w="1767" w:type="pct"/>
            <w:textDirection w:val="lrTb"/>
            <w:noWrap w:val="false"/>
          </w:tcPr>
          <w:p>
            <w:pPr>
              <w:contextualSpacing/>
              <w:ind w:right="-112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contextualSpacing/>
              <w:ind w:right="-111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проведения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contextualSpacing/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участников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pPr>
              <w:contextualSpacing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Аннотация, ссылка на новость, пост – релиз, фотографии приказы, протоколы и другие документы (материалы)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1767" w:type="pct"/>
            <w:textDirection w:val="lrTb"/>
            <w:noWrap w:val="false"/>
          </w:tcPr>
          <w:p>
            <w:pPr>
              <w:contextualSpacing/>
              <w:ind w:right="-112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Беседа с работниками банка по теме: «Финансовое мошенничество».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contextualSpacing/>
              <w:ind w:right="-111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17.10.2024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contextualSpacing/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pPr>
              <w:contextualSpacing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Состоялась беседа с работниками банка по теме: «Финансовое мошенничество». Гости техникума рассказали о новых видах мошенничества и способах их распознавания. Поделились советами о том, как не попасться в лапы аферистам.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hyperlink r:id="rId11" w:tooltip="https://hdst.ru/finansovaja-gramotnost/" w:history="1">
              <w:r>
                <w:rPr>
                  <w:rStyle w:val="681"/>
                  <w:rFonts w:ascii="Times New Roman" w:hAnsi="Times New Roman" w:cs="Times New Roman"/>
                  <w:sz w:val="24"/>
                  <w:szCs w:val="24"/>
                </w:rPr>
                <w:t xml:space="preserve">https://hdst.ru/finansovaja-gramotnost/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1767" w:type="pct"/>
            <w:vMerge w:val="restart"/>
            <w:textDirection w:val="lrTb"/>
            <w:noWrap w:val="false"/>
          </w:tcPr>
          <w:p>
            <w:pPr>
              <w:contextualSpacing/>
              <w:ind w:right="-112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классные часы: «Финансовая грамотность»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77" w:type="pct"/>
            <w:vMerge w:val="restart"/>
            <w:textDirection w:val="lrTb"/>
            <w:noWrap w:val="false"/>
          </w:tcPr>
          <w:p>
            <w:pPr>
              <w:contextualSpacing/>
              <w:ind w:right="-111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18.11-30.11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5" w:type="pct"/>
            <w:vMerge w:val="restart"/>
            <w:textDirection w:val="lrTb"/>
            <w:noWrap w:val="false"/>
          </w:tcPr>
          <w:p>
            <w:pPr>
              <w:contextualSpacing/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vMerge w:val="restart"/>
            <w:textDirection w:val="lrTb"/>
            <w:noWrap w:val="false"/>
          </w:tcPr>
          <w:p>
            <w:pPr>
              <w:contextualSpacing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фото: https://hdst.ru/finansovaja-gramotnost/</w:t>
            </w:r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767" w:type="pct"/>
            <w:textDirection w:val="lrTb"/>
            <w:noWrap w:val="false"/>
          </w:tcPr>
          <w:p>
            <w:pPr>
              <w:contextualSpacing/>
              <w:ind w:right="-112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часы</w:t>
            </w:r>
            <w:r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по теме: Финансовая безопасность личности в сети Интернет».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contextualSpacing/>
              <w:ind w:right="-111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28.11.2024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contextualSpacing/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pPr>
              <w:contextualSpacing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фото: https://hdst.ru/finansovaja-gramotnost/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767" w:type="pct"/>
            <w:textDirection w:val="lrTb"/>
            <w:noWrap w:val="false"/>
          </w:tcPr>
          <w:p>
            <w:pPr>
              <w:contextualSpacing/>
              <w:ind w:right="-112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Краевая олимпиада по Финансовой грамотности среди студентов ПОО, посвящённая 80-летию «КГБ ПОУ КСК»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contextualSpacing/>
              <w:ind w:right="-111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16. 12.2024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contextualSpacing/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pPr>
              <w:contextualSpacing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сертификат: https://hdst.ru/finansovaja-gramotnost/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1767" w:type="pct"/>
            <w:textDirection w:val="lrTb"/>
            <w:noWrap w:val="false"/>
          </w:tcPr>
          <w:p>
            <w:pPr>
              <w:contextualSpacing/>
              <w:ind w:right="-112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«Онлайн олимпиада по Финансовой грамотности»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contextualSpacing/>
              <w:ind w:right="-111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12.12.20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contextualSpacing/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pPr>
              <w:contextualSpacing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Косицын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 А. – 1 место, Илюшин Е. А. – 1 место. Ссылка на дипломы: https://hdst.ru/finansovaja-gramotnost/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ind w:right="-112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Всероссийская онлайн-олимпиада по финансовой гр</w:t>
            </w: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амотности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ind w:right="-111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19.02.2025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Белоноженко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Никита: https://hdst.ru/finansovaja-gramotnost/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pStyle w:val="683"/>
              <w:spacing w:before="0" w:beforeAutospacing="0" w:after="150" w:afterAutospacing="0"/>
              <w:shd w:val="clear" w:color="auto" w:fill="ffffff"/>
            </w:pPr>
            <w:r>
              <w:t xml:space="preserve">Онлайн-урок "Знай свои деньги"</w:t>
            </w:r>
            <w:r/>
          </w:p>
        </w:tc>
        <w:tc>
          <w:tcPr>
            <w:tcW w:w="777" w:type="pct"/>
            <w:textDirection w:val="lrTb"/>
            <w:noWrap w:val="false"/>
          </w:tcPr>
          <w:p>
            <w:pPr>
              <w:ind w:right="-111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12.11.24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https://hdst.ru/finansovaja-gramotnost/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ind w:right="-112"/>
              <w:jc w:val="both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Онлайн-урок "Азбука страхования и пять важных советов, которые тебе помогут"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19.11.2024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ind w:right="-112"/>
              <w:jc w:val="both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Онлайн-урок "Пять простых правил, чтобы не иметь проблем с долгами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ind w:right="-111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13.11.2024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Онлайн-урок "Древние монеты"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8.11.2024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Онлайн-урок "Как защититься от </w:t>
            </w:r>
            <w:r>
              <w:rPr>
                <w:rFonts w:ascii="Times New Roman" w:hAnsi="Times New Roman" w:cs="Times New Roman"/>
                <w:szCs w:val="24"/>
              </w:rPr>
              <w:t xml:space="preserve">кибермошенничества</w:t>
            </w:r>
            <w:r>
              <w:rPr>
                <w:rFonts w:ascii="Times New Roman" w:hAnsi="Times New Roman" w:cs="Times New Roman"/>
                <w:szCs w:val="24"/>
              </w:rPr>
              <w:t xml:space="preserve">. Правила безопасности в киберпространстве"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8.11.2024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Онлайн-урок "Приключения в мире платежей: от золотых монет до банковских карт"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18.11.2024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Онлайн-урок "Акции. Что должен знать начинающий инвестор"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8.11.2024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"Биржа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основы инвестирования"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02.04. 2025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 "В поисках финансовой справедливости. Как защитить права потребителя?"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13.03.2025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про кредит или четыре правила, которые помогут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13.03.2025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"Знай свои деньги"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13.04.2025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"Как начать свой бизнес. Мечтай. Планируй. Действуй"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18.03.2025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Облигации. Что это такое и как на них заработать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13.03.2025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«Финансовые инструменты и стратегии инвестирования»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17.03.2025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"Цифровой рубль: мифы и реальность"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03.02.2025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/>
          </w:p>
        </w:tc>
      </w:tr>
      <w:tr>
        <w:tblPrEx/>
        <w:trPr>
          <w:trHeight w:val="553"/>
        </w:trPr>
        <w:tc>
          <w:tcPr>
            <w:tcW w:w="17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 – марафон по финансовой грамотности от Банка ВТБ «Путь к финансовой свободе» 27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7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24 марта – 2 апреля 2025</w:t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W w:w="565" w:type="pct"/>
            <w:textDirection w:val="lrTb"/>
            <w:noWrap w:val="false"/>
          </w:tcPr>
          <w:p>
            <w:pPr>
              <w:ind w:right="-105"/>
              <w:jc w:val="center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91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Ссылка на дипломы: https://hdst.ru/finansovaja-gramotnost/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tabs>
          <w:tab w:val="left" w:pos="0" w:leader="none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рамках изучения дисциплин (модулей)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tbl>
      <w:tblPr>
        <w:tblStyle w:val="669"/>
        <w:tblW w:w="5000" w:type="pct"/>
        <w:tblLook w:val="04A0" w:firstRow="1" w:lastRow="0" w:firstColumn="1" w:lastColumn="0" w:noHBand="0" w:noVBand="1"/>
      </w:tblPr>
      <w:tblGrid>
        <w:gridCol w:w="4164"/>
        <w:gridCol w:w="4109"/>
        <w:gridCol w:w="2594"/>
        <w:gridCol w:w="4259"/>
      </w:tblGrid>
      <w:tr>
        <w:tblPrEx/>
        <w:trPr/>
        <w:tc>
          <w:tcPr>
            <w:tcW w:w="1376" w:type="pc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Специальность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358" w:type="pc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дисциплины (модуля)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7" w:type="pc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обучающихся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08" w:type="pc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  <w:tab w:val="left" w:pos="2679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на рабочую программу дисциплины/модуля, другие документы, материалы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1376" w:type="pct"/>
            <w:textDirection w:val="lrTb"/>
            <w:noWrap w:val="false"/>
          </w:tcPr>
          <w:p>
            <w:pPr>
              <w:contextualSpacing/>
              <w:ind w:right="85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21.01.08 Машинист на открытых горных работах (МОГР-225, МОГР - 226)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58" w:type="pct"/>
            <w:vMerge w:val="restar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финансовой грамотности и предпринимательской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7" w:type="pc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08" w:type="pct"/>
            <w:vMerge w:val="restar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  <w:tab w:val="left" w:pos="26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2" w:tooltip="https://hdst.ru/finansovaja-gramotnost/" w:history="1">
              <w:r>
                <w:rPr>
                  <w:rStyle w:val="681"/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https://hdst.ru/finansovaja-gramotnost/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376" w:type="pct"/>
            <w:textDirection w:val="lrTb"/>
            <w:noWrap w:val="false"/>
          </w:tcPr>
          <w:p>
            <w:pPr>
              <w:contextualSpacing/>
              <w:ind w:right="138"/>
              <w:tabs>
                <w:tab w:val="left" w:pos="0" w:leader="none"/>
                <w:tab w:val="left" w:pos="3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23.01.06 Машинист дорожных и строительных машин (МДСМ-222, МДСМ-223, МДСМ – 232, МДСМ - 233)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58" w:type="pct"/>
            <w:vMerge w:val="continue"/>
            <w:textDirection w:val="lrTb"/>
            <w:noWrap w:val="false"/>
          </w:tcPr>
          <w:p>
            <w:pPr>
              <w:contextualSpacing/>
              <w:ind w:right="123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7" w:type="pct"/>
            <w:textDirection w:val="lrTb"/>
            <w:noWrap w:val="false"/>
          </w:tcPr>
          <w:p>
            <w:pPr>
              <w:contextualSpacing/>
              <w:ind w:right="138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08" w:type="pct"/>
            <w:vMerge w:val="continue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  <w:tab w:val="left" w:pos="26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376" w:type="pct"/>
            <w:textDirection w:val="lrTb"/>
            <w:noWrap w:val="false"/>
          </w:tcPr>
          <w:p>
            <w:pPr>
              <w:contextualSpacing/>
              <w:ind w:right="138"/>
              <w:tabs>
                <w:tab w:val="left" w:pos="0" w:leader="none"/>
                <w:tab w:val="left" w:pos="3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23.01.08 Слесарь по ремонту строительных машин (СРСМ-244)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58" w:type="pct"/>
            <w:vMerge w:val="continue"/>
            <w:textDirection w:val="lrTb"/>
            <w:noWrap w:val="false"/>
          </w:tcPr>
          <w:p>
            <w:pPr>
              <w:contextualSpacing/>
              <w:ind w:right="85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7" w:type="pc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08" w:type="pct"/>
            <w:vMerge w:val="continue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  <w:tab w:val="left" w:pos="2679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376" w:type="pct"/>
            <w:textDirection w:val="lrTb"/>
            <w:noWrap w:val="false"/>
          </w:tcPr>
          <w:p>
            <w:pPr>
              <w:contextualSpacing/>
              <w:ind w:right="85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23.01.17 Мастер по ремонту и обслуживанию автомобилей (МРОА-221, МРОА-220, МРОА – 231)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58" w:type="pct"/>
            <w:vMerge w:val="continue"/>
            <w:textDirection w:val="lrTb"/>
            <w:noWrap w:val="false"/>
          </w:tcPr>
          <w:p>
            <w:pPr>
              <w:contextualSpacing/>
              <w:ind w:right="85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7" w:type="pc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08" w:type="pct"/>
            <w:vMerge w:val="continue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  <w:tab w:val="left" w:pos="2679" w:leader="none"/>
              </w:tabs>
            </w:pPr>
            <w:r/>
            <w:r/>
          </w:p>
        </w:tc>
      </w:tr>
      <w:tr>
        <w:tblPrEx/>
        <w:trPr/>
        <w:tc>
          <w:tcPr>
            <w:tcW w:w="1376" w:type="pct"/>
            <w:textDirection w:val="lrTb"/>
            <w:noWrap w:val="false"/>
          </w:tcPr>
          <w:p>
            <w:pPr>
              <w:contextualSpacing/>
              <w:ind w:right="85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23.01.07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 (крановщик) (МК-236)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358" w:type="pct"/>
            <w:vMerge w:val="continue"/>
            <w:textDirection w:val="lrTb"/>
            <w:noWrap w:val="false"/>
          </w:tcPr>
          <w:p>
            <w:pPr>
              <w:contextualSpacing/>
              <w:ind w:right="85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857" w:type="pc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408" w:type="pct"/>
            <w:vMerge w:val="continue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  <w:tab w:val="left" w:pos="2679" w:leader="none"/>
              </w:tabs>
            </w:pPr>
            <w:r/>
            <w:r/>
          </w:p>
        </w:tc>
      </w:tr>
      <w:tr>
        <w:tblPrEx/>
        <w:trPr>
          <w:trHeight w:val="1720"/>
        </w:trPr>
        <w:tc>
          <w:tcPr>
            <w:tcW w:w="1376" w:type="pc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23.02.01 Организация перевозок и управление на транспорте (ОПУТ-227)</w:t>
            </w:r>
            <w:r>
              <w:rPr>
                <w:sz w:val="24"/>
                <w:szCs w:val="24"/>
              </w:rPr>
            </w:r>
          </w:p>
        </w:tc>
        <w:tc>
          <w:tcPr>
            <w:tcW w:w="1358" w:type="pct"/>
            <w:vMerge w:val="restart"/>
            <w:textDirection w:val="lrTb"/>
            <w:noWrap w:val="false"/>
          </w:tcPr>
          <w:p>
            <w:pPr>
              <w:contextualSpacing/>
              <w:ind w:right="123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финансовой 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7" w:type="pc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08" w:type="pct"/>
            <w:vMerge w:val="continue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  <w:tab w:val="left" w:pos="2679" w:leader="none"/>
              </w:tabs>
            </w:pPr>
            <w:r/>
            <w:r/>
          </w:p>
        </w:tc>
      </w:tr>
      <w:tr>
        <w:tblPrEx/>
        <w:trPr>
          <w:trHeight w:val="848"/>
        </w:trPr>
        <w:tc>
          <w:tcPr>
            <w:tcW w:w="1376" w:type="pct"/>
            <w:textDirection w:val="lrTb"/>
            <w:noWrap w:val="false"/>
          </w:tcPr>
          <w:p>
            <w:pPr>
              <w:pStyle w:val="682"/>
              <w:contextualSpacing/>
              <w:ind w:right="85"/>
              <w:jc w:val="left"/>
              <w:spacing w:line="240" w:lineRule="auto"/>
              <w:widowControl/>
              <w:rPr>
                <w:lang w:eastAsia="en-US"/>
              </w:rPr>
            </w:pPr>
            <w:r>
              <w:t xml:space="preserve">23.02.04 </w:t>
            </w:r>
            <w:r>
              <w:rPr>
                <w:lang w:eastAsia="en-US"/>
              </w:rPr>
              <w:t xml:space="preserve">Техническая эксплуатация подъемно-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contextualSpacing/>
              <w:ind w:right="85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транспортных, строительных, дорожных машин и оборудования (по отраслям)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(ТЭМО-22-1, ТЭМО-22-1, ТЭМО-228)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58" w:type="pct"/>
            <w:vMerge w:val="continue"/>
            <w:textDirection w:val="lrTb"/>
            <w:noWrap w:val="false"/>
          </w:tcPr>
          <w:p>
            <w:pPr>
              <w:contextualSpacing/>
              <w:ind w:right="85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7" w:type="pc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08" w:type="pct"/>
            <w:vMerge w:val="continue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  <w:tab w:val="left" w:pos="2679" w:leader="none"/>
              </w:tabs>
            </w:pPr>
            <w:r/>
            <w:r/>
          </w:p>
        </w:tc>
      </w:tr>
      <w:tr>
        <w:tblPrEx/>
        <w:trPr/>
        <w:tc>
          <w:tcPr>
            <w:tcW w:w="1376" w:type="pct"/>
            <w:textDirection w:val="lrTb"/>
            <w:noWrap w:val="false"/>
          </w:tcPr>
          <w:p>
            <w:pPr>
              <w:contextualSpacing/>
              <w:ind w:right="85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23.02.07 Техническое обслуживание и ремонт двигателей, систем и агрегатов автомобилей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(ТОРД-229)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58" w:type="pct"/>
            <w:vMerge w:val="continue"/>
            <w:textDirection w:val="lrTb"/>
            <w:noWrap w:val="false"/>
          </w:tcPr>
          <w:p>
            <w:pPr>
              <w:contextualSpacing/>
              <w:ind w:right="85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7" w:type="pc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08" w:type="pct"/>
            <w:vMerge w:val="continue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  <w:tab w:val="left" w:pos="2679" w:leader="none"/>
              </w:tabs>
            </w:pPr>
            <w:r/>
            <w:r/>
          </w:p>
        </w:tc>
      </w:tr>
      <w:tr>
        <w:tblPrEx/>
        <w:trPr/>
        <w:tc>
          <w:tcPr>
            <w:tcW w:w="1376" w:type="pct"/>
            <w:textDirection w:val="lrTb"/>
            <w:noWrap w:val="false"/>
          </w:tcPr>
          <w:p>
            <w:pPr>
              <w:contextualSpacing/>
              <w:ind w:right="85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358" w:type="pct"/>
            <w:textDirection w:val="lrTb"/>
            <w:noWrap w:val="false"/>
          </w:tcPr>
          <w:p>
            <w:pPr>
              <w:contextualSpacing/>
              <w:ind w:right="85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7" w:type="pct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08" w:type="pct"/>
            <w:vMerge w:val="continue"/>
            <w:textDirection w:val="lrTb"/>
            <w:noWrap w:val="false"/>
          </w:tcPr>
          <w:p>
            <w:pPr>
              <w:contextualSpacing/>
              <w:ind w:right="85"/>
              <w:jc w:val="center"/>
              <w:tabs>
                <w:tab w:val="left" w:pos="0" w:leader="none"/>
                <w:tab w:val="left" w:pos="2679" w:leader="none"/>
              </w:tabs>
            </w:pPr>
            <w:r/>
            <w:r/>
          </w:p>
        </w:tc>
      </w:tr>
    </w:tbl>
    <w:p>
      <w:pPr>
        <w:spacing w:after="0" w:line="240" w:lineRule="auto"/>
        <w:tabs>
          <w:tab w:val="left" w:pos="5265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sectPr>
      <w:headerReference w:type="default" r:id="rId9"/>
      <w:footnotePr/>
      <w:endnotePr/>
      <w:type w:val="nextPage"/>
      <w:pgSz w:w="16838" w:h="11906" w:orient="landscape"/>
      <w:pgMar w:top="851" w:right="851" w:bottom="851" w:left="85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0"/>
      <w:jc w:val="cen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</w:r>
    <w:r>
      <w:rPr>
        <w:rFonts w:ascii="Times New Roman" w:hAnsi="Times New Roman" w:cs="Times New Roman"/>
        <w:sz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65"/>
    <w:next w:val="665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66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65"/>
    <w:next w:val="66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6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65"/>
    <w:next w:val="66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6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65"/>
    <w:next w:val="66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6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65"/>
    <w:next w:val="66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6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5"/>
    <w:next w:val="66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5"/>
    <w:next w:val="66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5"/>
    <w:next w:val="66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5"/>
    <w:next w:val="66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65"/>
    <w:next w:val="66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66"/>
    <w:link w:val="34"/>
    <w:uiPriority w:val="10"/>
    <w:rPr>
      <w:sz w:val="48"/>
      <w:szCs w:val="48"/>
    </w:rPr>
  </w:style>
  <w:style w:type="paragraph" w:styleId="36">
    <w:name w:val="Subtitle"/>
    <w:basedOn w:val="665"/>
    <w:next w:val="66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66"/>
    <w:link w:val="36"/>
    <w:uiPriority w:val="11"/>
    <w:rPr>
      <w:sz w:val="24"/>
      <w:szCs w:val="24"/>
    </w:rPr>
  </w:style>
  <w:style w:type="paragraph" w:styleId="38">
    <w:name w:val="Quote"/>
    <w:basedOn w:val="665"/>
    <w:next w:val="66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5"/>
    <w:next w:val="66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66"/>
    <w:link w:val="670"/>
    <w:uiPriority w:val="99"/>
  </w:style>
  <w:style w:type="character" w:styleId="45">
    <w:name w:val="Footer Char"/>
    <w:basedOn w:val="666"/>
    <w:link w:val="672"/>
    <w:uiPriority w:val="99"/>
  </w:style>
  <w:style w:type="paragraph" w:styleId="46">
    <w:name w:val="Caption"/>
    <w:basedOn w:val="665"/>
    <w:next w:val="66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66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674"/>
    <w:uiPriority w:val="99"/>
    <w:rPr>
      <w:sz w:val="18"/>
    </w:rPr>
  </w:style>
  <w:style w:type="paragraph" w:styleId="178">
    <w:name w:val="endnote text"/>
    <w:basedOn w:val="66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66"/>
    <w:uiPriority w:val="99"/>
    <w:semiHidden/>
    <w:unhideWhenUsed/>
    <w:rPr>
      <w:vertAlign w:val="superscript"/>
    </w:rPr>
  </w:style>
  <w:style w:type="paragraph" w:styleId="181">
    <w:name w:val="toc 1"/>
    <w:basedOn w:val="665"/>
    <w:next w:val="66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65"/>
    <w:next w:val="66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65"/>
    <w:next w:val="66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65"/>
    <w:next w:val="66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65"/>
    <w:next w:val="66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65"/>
    <w:next w:val="66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65"/>
    <w:next w:val="66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65"/>
    <w:next w:val="66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65"/>
    <w:next w:val="66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65"/>
    <w:next w:val="665"/>
    <w:uiPriority w:val="99"/>
    <w:unhideWhenUsed/>
    <w:pPr>
      <w:spacing w:after="0" w:afterAutospacing="0"/>
    </w:pPr>
  </w:style>
  <w:style w:type="paragraph" w:styleId="665" w:default="1">
    <w:name w:val="Normal"/>
    <w:qFormat/>
  </w:style>
  <w:style w:type="character" w:styleId="666" w:default="1">
    <w:name w:val="Default Paragraph Font"/>
    <w:uiPriority w:val="1"/>
    <w:semiHidden/>
    <w:unhideWhenUsed/>
  </w:style>
  <w:style w:type="table" w:styleId="6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8" w:default="1">
    <w:name w:val="No List"/>
    <w:uiPriority w:val="99"/>
    <w:semiHidden/>
    <w:unhideWhenUsed/>
  </w:style>
  <w:style w:type="table" w:styleId="669">
    <w:name w:val="Table Grid"/>
    <w:basedOn w:val="66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70">
    <w:name w:val="Header"/>
    <w:basedOn w:val="665"/>
    <w:link w:val="6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1" w:customStyle="1">
    <w:name w:val="Верхний колонтитул Знак"/>
    <w:basedOn w:val="666"/>
    <w:link w:val="670"/>
    <w:uiPriority w:val="99"/>
  </w:style>
  <w:style w:type="paragraph" w:styleId="672">
    <w:name w:val="Footer"/>
    <w:basedOn w:val="665"/>
    <w:link w:val="67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3" w:customStyle="1">
    <w:name w:val="Нижний колонтитул Знак"/>
    <w:basedOn w:val="666"/>
    <w:link w:val="672"/>
    <w:uiPriority w:val="99"/>
  </w:style>
  <w:style w:type="paragraph" w:styleId="674">
    <w:name w:val="footnote text"/>
    <w:basedOn w:val="665"/>
    <w:link w:val="67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675" w:customStyle="1">
    <w:name w:val="Текст сноски Знак"/>
    <w:basedOn w:val="666"/>
    <w:link w:val="674"/>
    <w:uiPriority w:val="99"/>
    <w:semiHidden/>
    <w:rPr>
      <w:sz w:val="20"/>
      <w:szCs w:val="20"/>
    </w:rPr>
  </w:style>
  <w:style w:type="character" w:styleId="676">
    <w:name w:val="footnote reference"/>
    <w:basedOn w:val="666"/>
    <w:uiPriority w:val="99"/>
    <w:semiHidden/>
    <w:unhideWhenUsed/>
    <w:rPr>
      <w:vertAlign w:val="superscript"/>
    </w:rPr>
  </w:style>
  <w:style w:type="paragraph" w:styleId="677">
    <w:name w:val="Balloon Text"/>
    <w:basedOn w:val="665"/>
    <w:link w:val="67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78" w:customStyle="1">
    <w:name w:val="Текст выноски Знак"/>
    <w:basedOn w:val="666"/>
    <w:link w:val="677"/>
    <w:uiPriority w:val="99"/>
    <w:semiHidden/>
    <w:rPr>
      <w:rFonts w:ascii="Segoe UI" w:hAnsi="Segoe UI" w:cs="Segoe UI"/>
      <w:sz w:val="18"/>
      <w:szCs w:val="18"/>
    </w:rPr>
  </w:style>
  <w:style w:type="paragraph" w:styleId="679">
    <w:name w:val="List Paragraph"/>
    <w:basedOn w:val="665"/>
    <w:uiPriority w:val="34"/>
    <w:qFormat/>
    <w:pPr>
      <w:contextualSpacing/>
      <w:ind w:left="720"/>
    </w:pPr>
  </w:style>
  <w:style w:type="character" w:styleId="680" w:customStyle="1">
    <w:name w:val="fontstyle01"/>
    <w:basedOn w:val="666"/>
    <w:rPr>
      <w:rFonts w:hint="default" w:ascii="Tahoma" w:hAnsi="Tahoma" w:cs="Tahoma"/>
      <w:b w:val="0"/>
      <w:bCs w:val="0"/>
      <w:i w:val="0"/>
      <w:iCs w:val="0"/>
      <w:color w:val="000000"/>
      <w:sz w:val="22"/>
      <w:szCs w:val="22"/>
    </w:rPr>
  </w:style>
  <w:style w:type="character" w:styleId="681">
    <w:name w:val="Hyperlink"/>
    <w:basedOn w:val="666"/>
    <w:uiPriority w:val="99"/>
    <w:unhideWhenUsed/>
    <w:rPr>
      <w:color w:val="0563c1" w:themeColor="hyperlink"/>
      <w:u w:val="single"/>
    </w:rPr>
  </w:style>
  <w:style w:type="paragraph" w:styleId="682" w:customStyle="1">
    <w:name w:val="Style6"/>
    <w:basedOn w:val="665"/>
    <w:uiPriority w:val="99"/>
    <w:pPr>
      <w:jc w:val="center"/>
      <w:spacing w:after="0" w:line="317" w:lineRule="exact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683">
    <w:name w:val="Normal (Web)"/>
    <w:basedOn w:val="66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hdst.ru/finansovaja-gramotnost/" TargetMode="External"/><Relationship Id="rId12" Type="http://schemas.openxmlformats.org/officeDocument/2006/relationships/hyperlink" Target="https://hdst.ru/finansovaja-gramotnost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44787-540E-4540-91EE-46E76C32E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Жаринов Михаил Сергеевич</dc:creator>
  <cp:keywords/>
  <dc:description/>
  <cp:lastModifiedBy>Обувалова</cp:lastModifiedBy>
  <cp:revision>24</cp:revision>
  <dcterms:created xsi:type="dcterms:W3CDTF">2022-02-18T06:07:00Z</dcterms:created>
  <dcterms:modified xsi:type="dcterms:W3CDTF">2026-02-18T23:34:23Z</dcterms:modified>
</cp:coreProperties>
</file>